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системы оценки качества образования</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17.76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д.п.н., профессор _________________ /Шмачилина-Цибенко С.В./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системы оценки качества образования»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«Современные системы оценки качества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системы оценки качества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имеющиеся педагогические условия и проектировать педагогические условия для развития группы обучающихся в системе высшего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нормативно-правовые акты, определяющие современную государственную молодежную политику</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требования ФГОС к компетенциям выпускников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способы педагогической диагностики и условия развития ценностно- смысловой, эмоционально-волевой, потребностно-мотивационной, интеллектуальной сфер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обеспечивать педагогическое  сопровождение формирования  и деятельности органов  студенческого самоуправления,  использовать средства формирования  и развития организационной  культуры  группы обучающих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оказывать методическую  помощь  активу группы,  мотивировать  участие обучающихся  в  разных  видах общественной  деятельности, содействовать формированию лидерских  качеств  и  нравственных ценностей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методами, формами,  приемами  и  средствами организации общения и деятельности  обучающихся  группы  с  учетом  их  возрастных  и индивидуальных особенностей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проектирование и экспертизу учебных программ высшего и дополнительного профессионального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инновационные подходы и требования к структуре и содержанию  учебных программ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алгоритм проектирования программ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инструментарий  эксперта  для оценки проведения  экспертизы программ</w:t>
            </w:r>
          </w:p>
        </w:tc>
      </w:tr>
      <w:tr>
        <w:trPr>
          <w:trHeight w:hRule="exact" w:val="395.4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определять  цели, задачи  и  специфику  учебной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проектировать  данную программу</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современными теоретическими  и  методическими подходами  к разработке  и реализации  учебных  программ</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приемами  экспертной  деятельности при  проектировании  и экспертизе данных</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«Современные системы оценки качества образования» относится к обязательной части, является дисциплиной Блока Б1. «Дисциплины (модули)». Модуль "Современное высшее образование"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046.13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Особенности профессиональной деятельности преподавателя современного вуза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(профессионально-творческая практика)</w:t>
            </w:r>
          </w:p>
          <w:p>
            <w:pPr>
              <w:jc w:val="center"/>
              <w:spacing w:after="0" w:line="240" w:lineRule="auto"/>
              <w:rPr>
                <w:sz w:val="22"/>
                <w:szCs w:val="22"/>
              </w:rPr>
            </w:pPr>
            <w:r>
              <w:rPr>
                <w:rFonts w:ascii="Times New Roman" w:hAnsi="Times New Roman" w:cs="Times New Roman"/>
                <w:color w:val="#000000"/>
                <w:sz w:val="22"/>
                <w:szCs w:val="22"/>
              </w:rPr>
              <w:t> Инновационные процессы в образовании</w:t>
            </w:r>
          </w:p>
          <w:p>
            <w:pPr>
              <w:jc w:val="center"/>
              <w:spacing w:after="0" w:line="240" w:lineRule="auto"/>
              <w:rPr>
                <w:sz w:val="22"/>
                <w:szCs w:val="22"/>
              </w:rPr>
            </w:pPr>
            <w:r>
              <w:rPr>
                <w:rFonts w:ascii="Times New Roman" w:hAnsi="Times New Roman" w:cs="Times New Roman"/>
                <w:color w:val="#000000"/>
                <w:sz w:val="22"/>
                <w:szCs w:val="22"/>
              </w:rPr>
              <w:t> Планирование профессии и карьеры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образовательной деятельности студента</w:t>
            </w:r>
          </w:p>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студентов с особыми потребностями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Развитие высшего образования за рубежом и в России</w:t>
            </w:r>
          </w:p>
          <w:p>
            <w:pPr>
              <w:jc w:val="center"/>
              <w:spacing w:after="0" w:line="240" w:lineRule="auto"/>
              <w:rPr>
                <w:sz w:val="22"/>
                <w:szCs w:val="22"/>
              </w:rPr>
            </w:pPr>
            <w:r>
              <w:rPr>
                <w:rFonts w:ascii="Times New Roman" w:hAnsi="Times New Roman" w:cs="Times New Roman"/>
                <w:color w:val="#000000"/>
                <w:sz w:val="22"/>
                <w:szCs w:val="22"/>
              </w:rPr>
              <w:t> Самостоятельная учебная и научно- исследовательская работа студента</w:t>
            </w:r>
          </w:p>
          <w:p>
            <w:pPr>
              <w:jc w:val="center"/>
              <w:spacing w:after="0" w:line="240" w:lineRule="auto"/>
              <w:rPr>
                <w:sz w:val="22"/>
                <w:szCs w:val="22"/>
              </w:rPr>
            </w:pPr>
            <w:r>
              <w:rPr>
                <w:rFonts w:ascii="Times New Roman" w:hAnsi="Times New Roman" w:cs="Times New Roman"/>
                <w:color w:val="#000000"/>
                <w:sz w:val="22"/>
                <w:szCs w:val="22"/>
              </w:rPr>
              <w:t> Технологии взаимодействия субъектов образовательного процесс 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Оценка качества образования: основные понятия и современные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оценивания результатов учебной деятельности студентов, ее функции и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Балльно-рейтинговая система оценивания учебной деятельности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Теоретические подходы к разработке организационно-педагогической систе-мы оценивания эффективности внеучебной деятельности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1. Круглый стол. Организация текущего контроля ус-певаемости, промежуточной и итоговой аттестации, формированию фондов оценочных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2. Экспертные оценки в образовании.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3. Мониторинг как средство отслеживания качества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Семинарское занятие 4. Аккредитация как форма оценки качества высшего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42.6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Оценка качества образования: основные понятия и современные подходы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аспекты оценки качества образования: концепция качества Э. Де-минга (14 принципов), Дж. Джурана, Ф. Кросби, А. Фрейнгенбаума, Японский подход к вопросу качества, американские концепции качества, отечественные подходы к системам качества. Концепция Всеобщего менеджмента качества. Понятие «качество». Аспекты понимания понятия. Процессный подход и качество образования. Анализ и оценка процессов. Терминология оценки и анализа процессов: критерий процесса, показатель процесса, анализ процесса, измерение процесса, мониторинг процесса. Понятие «качество образования». Новые требования к качеству образования. Анализ отечественного и международного опыта оценки качества образования. Процедуры оценки качества образования. Концепция оценки качества образования в Российской Федерации: ключевые понятия и принципы. Основные положения построения общероссийской системы оценки качества образования (ОСОКО). Этапы формирования ОСОКО. Уровни оценки качества. Миссия ОСОКО. Цели и задачи ОСОКО. Принципы построение ОСОКО. Базовые процедуры и механизмы развития ОСОКО. Институты оценки качества образования. Объекты оценки качества образования.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оценивания результатов учебной деятельности студентов, ее функции и принципы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системы оценивания, оценивание учебных достижений обучающихся. Ос-новная функция  и задача системы оценивания. Новые тенденции развития оценочной деятельности преподавателя. Принципы оценивания в критерии оценки.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Балльно-рейтинговая система оценивания учебной деятельности студентов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Европейская переводная и накопительная система кредитов, модульная система. Основная цель балльно-рейтинговой системы. Рейтинговая технология оценивания результатов обучения студентов. Критерии оценки балльно-рейтинговой системы оценивания.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Теоретические подходы к разработке организационно-педагогической систе- мы оценивания эффективности внеучебной деятельности в вузе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результатов внеучебной	деятельности студентов в контек-сте компетентностного подхода. Целесообразность обращения к системному и личност-но- ориентированному подходу. Подсистема оценивания условий организации внеучеб-ной деятельности. Критерии и показатели оценивания условий организации внеучебной деятельности студентов. Методы оценки конкретных достижений студентов во внеучеб- ной деятельности: портфолио; бально-рейтинговая система; рейтинг индивидуальных достижений; тесты; анкетирование; статистические методы; самооценка и др.</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1. Круглый стол. Организация текущего контроля ус- певаемости, промежуточной и итоговой аттестации, формированию фондов оценочных средств</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Анализ нормативно-правовых документов. Общие определения: оценочные сред-ства, фонд контрольных заданий, формы и процедуры, предназначенных для оп-ределения качества освоения студентом учебного материала.</w:t>
            </w:r>
          </w:p>
          <w:p>
            <w:pPr>
              <w:jc w:val="left"/>
              <w:spacing w:after="0" w:line="240" w:lineRule="auto"/>
              <w:rPr>
                <w:sz w:val="24"/>
                <w:szCs w:val="24"/>
              </w:rPr>
            </w:pPr>
            <w:r>
              <w:rPr>
                <w:rFonts w:ascii="Times New Roman" w:hAnsi="Times New Roman" w:cs="Times New Roman"/>
                <w:color w:val="#000000"/>
                <w:sz w:val="24"/>
                <w:szCs w:val="24"/>
              </w:rPr>
              <w:t> 2.	Типы контроля успешности освоения ООП студентом и выпускником: текущая, промежуточная, итоговая государственная аттестация.</w:t>
            </w:r>
          </w:p>
          <w:p>
            <w:pPr>
              <w:jc w:val="left"/>
              <w:spacing w:after="0" w:line="240" w:lineRule="auto"/>
              <w:rPr>
                <w:sz w:val="24"/>
                <w:szCs w:val="24"/>
              </w:rPr>
            </w:pPr>
            <w:r>
              <w:rPr>
                <w:rFonts w:ascii="Times New Roman" w:hAnsi="Times New Roman" w:cs="Times New Roman"/>
                <w:color w:val="#000000"/>
                <w:sz w:val="24"/>
                <w:szCs w:val="24"/>
              </w:rPr>
              <w:t> 3.	Виды и формы текущего контроля и промежуточной аттестации.</w:t>
            </w:r>
          </w:p>
          <w:p>
            <w:pPr>
              <w:jc w:val="left"/>
              <w:spacing w:after="0" w:line="240" w:lineRule="auto"/>
              <w:rPr>
                <w:sz w:val="24"/>
                <w:szCs w:val="24"/>
              </w:rPr>
            </w:pPr>
            <w:r>
              <w:rPr>
                <w:rFonts w:ascii="Times New Roman" w:hAnsi="Times New Roman" w:cs="Times New Roman"/>
                <w:color w:val="#000000"/>
                <w:sz w:val="24"/>
                <w:szCs w:val="24"/>
              </w:rPr>
              <w:t> 4.	Формы устного контроля.</w:t>
            </w:r>
          </w:p>
          <w:p>
            <w:pPr>
              <w:jc w:val="left"/>
              <w:spacing w:after="0" w:line="240" w:lineRule="auto"/>
              <w:rPr>
                <w:sz w:val="24"/>
                <w:szCs w:val="24"/>
              </w:rPr>
            </w:pPr>
            <w:r>
              <w:rPr>
                <w:rFonts w:ascii="Times New Roman" w:hAnsi="Times New Roman" w:cs="Times New Roman"/>
                <w:color w:val="#000000"/>
                <w:sz w:val="24"/>
                <w:szCs w:val="24"/>
              </w:rPr>
              <w:t> 5.	Формы письменного контроля</w:t>
            </w:r>
          </w:p>
          <w:p>
            <w:pPr>
              <w:jc w:val="left"/>
              <w:spacing w:after="0" w:line="240" w:lineRule="auto"/>
              <w:rPr>
                <w:sz w:val="24"/>
                <w:szCs w:val="24"/>
              </w:rPr>
            </w:pPr>
            <w:r>
              <w:rPr>
                <w:rFonts w:ascii="Times New Roman" w:hAnsi="Times New Roman" w:cs="Times New Roman"/>
                <w:color w:val="#000000"/>
                <w:sz w:val="24"/>
                <w:szCs w:val="24"/>
              </w:rPr>
              <w:t> 6.	Технические формы контроля.</w:t>
            </w:r>
          </w:p>
          <w:p>
            <w:pPr>
              <w:jc w:val="left"/>
              <w:spacing w:after="0" w:line="240" w:lineRule="auto"/>
              <w:rPr>
                <w:sz w:val="24"/>
                <w:szCs w:val="24"/>
              </w:rPr>
            </w:pPr>
            <w:r>
              <w:rPr>
                <w:rFonts w:ascii="Times New Roman" w:hAnsi="Times New Roman" w:cs="Times New Roman"/>
                <w:color w:val="#000000"/>
                <w:sz w:val="24"/>
                <w:szCs w:val="24"/>
              </w:rPr>
              <w:t> 7.	Итоговая государственная аттестация: государственный экзамен по направлению подготовки. Выпускная квалификационная работа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2. Экспертные оценки в образовании. Круглый стол.</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круглом столе.</w:t>
            </w:r>
          </w:p>
          <w:p>
            <w:pPr>
              <w:jc w:val="left"/>
              <w:spacing w:after="0" w:line="240" w:lineRule="auto"/>
              <w:rPr>
                <w:sz w:val="24"/>
                <w:szCs w:val="24"/>
              </w:rPr>
            </w:pPr>
            <w:r>
              <w:rPr>
                <w:rFonts w:ascii="Times New Roman" w:hAnsi="Times New Roman" w:cs="Times New Roman"/>
                <w:color w:val="#000000"/>
                <w:sz w:val="24"/>
                <w:szCs w:val="24"/>
              </w:rPr>
              <w:t> 1.	Модели экспертиз, применяемые в системе образования.</w:t>
            </w:r>
          </w:p>
          <w:p>
            <w:pPr>
              <w:jc w:val="left"/>
              <w:spacing w:after="0" w:line="240" w:lineRule="auto"/>
              <w:rPr>
                <w:sz w:val="24"/>
                <w:szCs w:val="24"/>
              </w:rPr>
            </w:pPr>
            <w:r>
              <w:rPr>
                <w:rFonts w:ascii="Times New Roman" w:hAnsi="Times New Roman" w:cs="Times New Roman"/>
                <w:color w:val="#000000"/>
                <w:sz w:val="24"/>
                <w:szCs w:val="24"/>
              </w:rPr>
              <w:t> 2.	Виды экспертиз. Критерии экспертиз в образовании.</w:t>
            </w:r>
          </w:p>
          <w:p>
            <w:pPr>
              <w:jc w:val="left"/>
              <w:spacing w:after="0" w:line="240" w:lineRule="auto"/>
              <w:rPr>
                <w:sz w:val="24"/>
                <w:szCs w:val="24"/>
              </w:rPr>
            </w:pPr>
            <w:r>
              <w:rPr>
                <w:rFonts w:ascii="Times New Roman" w:hAnsi="Times New Roman" w:cs="Times New Roman"/>
                <w:color w:val="#000000"/>
                <w:sz w:val="24"/>
                <w:szCs w:val="24"/>
              </w:rPr>
              <w:t> 3.	Экспертизы по составу экспертов.</w:t>
            </w:r>
          </w:p>
          <w:p>
            <w:pPr>
              <w:jc w:val="left"/>
              <w:spacing w:after="0" w:line="240" w:lineRule="auto"/>
              <w:rPr>
                <w:sz w:val="24"/>
                <w:szCs w:val="24"/>
              </w:rPr>
            </w:pPr>
            <w:r>
              <w:rPr>
                <w:rFonts w:ascii="Times New Roman" w:hAnsi="Times New Roman" w:cs="Times New Roman"/>
                <w:color w:val="#000000"/>
                <w:sz w:val="24"/>
                <w:szCs w:val="24"/>
              </w:rPr>
              <w:t> 4.	Принципы экспертизы образования по С.Л. Братченко.</w:t>
            </w:r>
          </w:p>
          <w:p>
            <w:pPr>
              <w:jc w:val="left"/>
              <w:spacing w:after="0" w:line="240" w:lineRule="auto"/>
              <w:rPr>
                <w:sz w:val="24"/>
                <w:szCs w:val="24"/>
              </w:rPr>
            </w:pPr>
            <w:r>
              <w:rPr>
                <w:rFonts w:ascii="Times New Roman" w:hAnsi="Times New Roman" w:cs="Times New Roman"/>
                <w:color w:val="#000000"/>
                <w:sz w:val="24"/>
                <w:szCs w:val="24"/>
              </w:rPr>
              <w:t> 5.	Классификации экспертиз по Н.Г. Новиковой, особенность и характерные черты.</w:t>
            </w:r>
          </w:p>
          <w:p>
            <w:pPr>
              <w:jc w:val="left"/>
              <w:spacing w:after="0" w:line="240" w:lineRule="auto"/>
              <w:rPr>
                <w:sz w:val="24"/>
                <w:szCs w:val="24"/>
              </w:rPr>
            </w:pPr>
            <w:r>
              <w:rPr>
                <w:rFonts w:ascii="Times New Roman" w:hAnsi="Times New Roman" w:cs="Times New Roman"/>
                <w:color w:val="#000000"/>
                <w:sz w:val="24"/>
                <w:szCs w:val="24"/>
              </w:rPr>
              <w:t> 6.	Общественная экспертиза и проблемы при ее реализации.</w:t>
            </w:r>
          </w:p>
          <w:p>
            <w:pPr>
              <w:jc w:val="left"/>
              <w:spacing w:after="0" w:line="240" w:lineRule="auto"/>
              <w:rPr>
                <w:sz w:val="24"/>
                <w:szCs w:val="24"/>
              </w:rPr>
            </w:pPr>
            <w:r>
              <w:rPr>
                <w:rFonts w:ascii="Times New Roman" w:hAnsi="Times New Roman" w:cs="Times New Roman"/>
                <w:color w:val="#000000"/>
                <w:sz w:val="24"/>
                <w:szCs w:val="24"/>
              </w:rPr>
              <w:t> 7.	Комплекс требований к экспертам.</w:t>
            </w:r>
          </w:p>
          <w:p>
            <w:pPr>
              <w:jc w:val="left"/>
              <w:spacing w:after="0" w:line="240" w:lineRule="auto"/>
              <w:rPr>
                <w:sz w:val="24"/>
                <w:szCs w:val="24"/>
              </w:rPr>
            </w:pPr>
            <w:r>
              <w:rPr>
                <w:rFonts w:ascii="Times New Roman" w:hAnsi="Times New Roman" w:cs="Times New Roman"/>
                <w:color w:val="#000000"/>
                <w:sz w:val="24"/>
                <w:szCs w:val="24"/>
              </w:rPr>
              <w:t> 8.	Методы экспертизы образовательной деятельности: метод анализа прерванных временных рядов, метод контент-анализа,</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3. Мониторинг как средство отслеживания качества образования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Генезис и развитие понятия «педагогический мониторинг.</w:t>
            </w:r>
          </w:p>
          <w:p>
            <w:pPr>
              <w:jc w:val="left"/>
              <w:spacing w:after="0" w:line="240" w:lineRule="auto"/>
              <w:rPr>
                <w:sz w:val="24"/>
                <w:szCs w:val="24"/>
              </w:rPr>
            </w:pPr>
            <w:r>
              <w:rPr>
                <w:rFonts w:ascii="Times New Roman" w:hAnsi="Times New Roman" w:cs="Times New Roman"/>
                <w:color w:val="#000000"/>
                <w:sz w:val="24"/>
                <w:szCs w:val="24"/>
              </w:rPr>
              <w:t> 2.	Система мониторинга в сфере образования.</w:t>
            </w:r>
          </w:p>
          <w:p>
            <w:pPr>
              <w:jc w:val="left"/>
              <w:spacing w:after="0" w:line="240" w:lineRule="auto"/>
              <w:rPr>
                <w:sz w:val="24"/>
                <w:szCs w:val="24"/>
              </w:rPr>
            </w:pPr>
            <w:r>
              <w:rPr>
                <w:rFonts w:ascii="Times New Roman" w:hAnsi="Times New Roman" w:cs="Times New Roman"/>
                <w:color w:val="#000000"/>
                <w:sz w:val="24"/>
                <w:szCs w:val="24"/>
              </w:rPr>
              <w:t> 3.	Педагогический мониторинг в вузе: сущность структура содержание.</w:t>
            </w:r>
          </w:p>
          <w:p>
            <w:pPr>
              <w:jc w:val="left"/>
              <w:spacing w:after="0" w:line="240" w:lineRule="auto"/>
              <w:rPr>
                <w:sz w:val="24"/>
                <w:szCs w:val="24"/>
              </w:rPr>
            </w:pPr>
            <w:r>
              <w:rPr>
                <w:rFonts w:ascii="Times New Roman" w:hAnsi="Times New Roman" w:cs="Times New Roman"/>
                <w:color w:val="#000000"/>
                <w:sz w:val="24"/>
                <w:szCs w:val="24"/>
              </w:rPr>
              <w:t> 4.	Этапы создания системы мониторинга в образовательном учреждении.</w:t>
            </w:r>
          </w:p>
          <w:p>
            <w:pPr>
              <w:jc w:val="left"/>
              <w:spacing w:after="0" w:line="240" w:lineRule="auto"/>
              <w:rPr>
                <w:sz w:val="24"/>
                <w:szCs w:val="24"/>
              </w:rPr>
            </w:pPr>
            <w:r>
              <w:rPr>
                <w:rFonts w:ascii="Times New Roman" w:hAnsi="Times New Roman" w:cs="Times New Roman"/>
                <w:color w:val="#000000"/>
                <w:sz w:val="24"/>
                <w:szCs w:val="24"/>
              </w:rPr>
              <w:t> 5.	Возможности использования статистики в мониторинге 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Семинарское занятие 4. Аккредитация как форма оценки качества высшего образования</w:t>
            </w:r>
          </w:p>
        </w:tc>
      </w:tr>
      <w:tr>
        <w:trPr>
          <w:trHeight w:hRule="exact" w:val="21.31518"/>
        </w:trPr>
        <w:tc>
          <w:tcPr>
            <w:tcW w:w="9640" w:type="dxa"/>
          </w:tcPr>
          <w:p/>
        </w:tc>
      </w:tr>
      <w:tr>
        <w:trPr>
          <w:trHeight w:hRule="exact" w:val="411.30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и необходимость проведения аккредитации.</w:t>
            </w:r>
          </w:p>
          <w:p>
            <w:pPr>
              <w:jc w:val="left"/>
              <w:spacing w:after="0" w:line="240" w:lineRule="auto"/>
              <w:rPr>
                <w:sz w:val="24"/>
                <w:szCs w:val="24"/>
              </w:rPr>
            </w:pPr>
            <w:r>
              <w:rPr>
                <w:rFonts w:ascii="Times New Roman" w:hAnsi="Times New Roman" w:cs="Times New Roman"/>
                <w:color w:val="#000000"/>
                <w:sz w:val="24"/>
                <w:szCs w:val="24"/>
              </w:rPr>
              <w:t> 2.	Государственная аккредитация.</w:t>
            </w:r>
          </w:p>
          <w:p>
            <w:pPr>
              <w:jc w:val="left"/>
              <w:spacing w:after="0" w:line="240" w:lineRule="auto"/>
              <w:rPr>
                <w:sz w:val="24"/>
                <w:szCs w:val="24"/>
              </w:rPr>
            </w:pPr>
            <w:r>
              <w:rPr>
                <w:rFonts w:ascii="Times New Roman" w:hAnsi="Times New Roman" w:cs="Times New Roman"/>
                <w:color w:val="#000000"/>
                <w:sz w:val="24"/>
                <w:szCs w:val="24"/>
              </w:rPr>
              <w:t> 3.	Общественно-профессиональная аккредитация.</w:t>
            </w:r>
          </w:p>
          <w:p>
            <w:pPr>
              <w:jc w:val="left"/>
              <w:spacing w:after="0" w:line="240" w:lineRule="auto"/>
              <w:rPr>
                <w:sz w:val="24"/>
                <w:szCs w:val="24"/>
              </w:rPr>
            </w:pPr>
            <w:r>
              <w:rPr>
                <w:rFonts w:ascii="Times New Roman" w:hAnsi="Times New Roman" w:cs="Times New Roman"/>
                <w:color w:val="#000000"/>
                <w:sz w:val="24"/>
                <w:szCs w:val="24"/>
              </w:rPr>
              <w:t> 4.	Институциональная основа общественно-профессиональной аккредитации.</w:t>
            </w:r>
          </w:p>
          <w:p>
            <w:pPr>
              <w:jc w:val="left"/>
              <w:spacing w:after="0" w:line="240" w:lineRule="auto"/>
              <w:rPr>
                <w:sz w:val="24"/>
                <w:szCs w:val="24"/>
              </w:rPr>
            </w:pPr>
            <w:r>
              <w:rPr>
                <w:rFonts w:ascii="Times New Roman" w:hAnsi="Times New Roman" w:cs="Times New Roman"/>
                <w:color w:val="#000000"/>
                <w:sz w:val="24"/>
                <w:szCs w:val="24"/>
              </w:rPr>
              <w:t> 5.	Агентство по общественному контролю качества образования и развитию карьеры (АККОРК).</w:t>
            </w:r>
          </w:p>
          <w:p>
            <w:pPr>
              <w:jc w:val="left"/>
              <w:spacing w:after="0" w:line="240" w:lineRule="auto"/>
              <w:rPr>
                <w:sz w:val="24"/>
                <w:szCs w:val="24"/>
              </w:rPr>
            </w:pPr>
            <w:r>
              <w:rPr>
                <w:rFonts w:ascii="Times New Roman" w:hAnsi="Times New Roman" w:cs="Times New Roman"/>
                <w:color w:val="#000000"/>
                <w:sz w:val="24"/>
                <w:szCs w:val="24"/>
              </w:rPr>
              <w:t> 6.	Процедура общественно-профессиональной аккредитации.</w:t>
            </w:r>
          </w:p>
          <w:p>
            <w:pPr>
              <w:jc w:val="left"/>
              <w:spacing w:after="0" w:line="240" w:lineRule="auto"/>
              <w:rPr>
                <w:sz w:val="24"/>
                <w:szCs w:val="24"/>
              </w:rPr>
            </w:pPr>
            <w:r>
              <w:rPr>
                <w:rFonts w:ascii="Times New Roman" w:hAnsi="Times New Roman" w:cs="Times New Roman"/>
                <w:color w:val="#000000"/>
                <w:sz w:val="24"/>
                <w:szCs w:val="24"/>
              </w:rPr>
              <w:t> 7.	Зарубежный опыт проведения общественно-профессиональной аккредитации.</w:t>
            </w:r>
          </w:p>
          <w:p>
            <w:pPr>
              <w:jc w:val="left"/>
              <w:spacing w:after="0" w:line="240" w:lineRule="auto"/>
              <w:rPr>
                <w:sz w:val="24"/>
                <w:szCs w:val="24"/>
              </w:rPr>
            </w:pPr>
            <w:r>
              <w:rPr>
                <w:rFonts w:ascii="Times New Roman" w:hAnsi="Times New Roman" w:cs="Times New Roman"/>
                <w:color w:val="#000000"/>
                <w:sz w:val="24"/>
                <w:szCs w:val="24"/>
              </w:rPr>
              <w:t> 8.	Отечественный опыт общественно-профессиональной аккредитации образова-тельных программ</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системы оценки качества образования» / Шмачилина-Цибенко С.В..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Загвязинский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978-5-9916-9831-3.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https://urait.ru/bcode/468605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Виды</w:t>
            </w:r>
            <w:r>
              <w:rPr/>
              <w:t xml:space="preserve"> </w:t>
            </w:r>
            <w:r>
              <w:rPr>
                <w:rFonts w:ascii="Times New Roman" w:hAnsi="Times New Roman" w:cs="Times New Roman"/>
                <w:color w:val="#000000"/>
                <w:sz w:val="24"/>
                <w:szCs w:val="24"/>
              </w:rPr>
              <w:t>оценочных</w:t>
            </w:r>
            <w:r>
              <w:rPr/>
              <w:t xml:space="preserve"> </w:t>
            </w:r>
            <w:r>
              <w:rPr>
                <w:rFonts w:ascii="Times New Roman" w:hAnsi="Times New Roman" w:cs="Times New Roman"/>
                <w:color w:val="#000000"/>
                <w:sz w:val="24"/>
                <w:szCs w:val="24"/>
              </w:rPr>
              <w:t>средств.</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практикоориентированного</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Слизкова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Дереча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Быстрова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978-5-534-08089-6.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https://urait.ru/bcode/473319</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внутришкольного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Слизкова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978-5-534-05811-6.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https://urait.ru/bcode/473082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образовательными</w:t>
            </w:r>
            <w:r>
              <w:rPr/>
              <w:t xml:space="preserve"> </w:t>
            </w:r>
            <w:r>
              <w:rPr>
                <w:rFonts w:ascii="Times New Roman" w:hAnsi="Times New Roman" w:cs="Times New Roman"/>
                <w:color w:val="#000000"/>
                <w:sz w:val="24"/>
                <w:szCs w:val="24"/>
              </w:rPr>
              <w:t>системами.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внутришкольного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Слизкова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978-5-534-04831-5.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https://urait.ru/bcode/472764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традиций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инновациям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https://urait.ru/bcode/453318</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661.0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научной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Магистерская</w:t>
            </w:r>
            <w:r>
              <w:rPr/>
              <w:t xml:space="preserve"> </w:t>
            </w:r>
            <w:r>
              <w:rPr>
                <w:rFonts w:ascii="Times New Roman" w:hAnsi="Times New Roman" w:cs="Times New Roman"/>
                <w:color w:val="#000000"/>
                <w:sz w:val="24"/>
                <w:szCs w:val="24"/>
              </w:rPr>
              <w:t>диссертация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978-5-534-09444-2.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https://urait.ru/bcode/455367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сопровождения</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978-5-534-09149-6.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https://urait.ru/bcode/472377</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Организационно-педагогическое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https://urait.ru/bcode/472375</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03.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11.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33.8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2023-2024_ФГОС3++2023_Маг-ОФО-ПО(Иннов)(23)_plx_Современные системы оценки качества образования</dc:title>
  <dc:creator>FastReport.NET</dc:creator>
</cp:coreProperties>
</file>